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7" w:rsidRPr="00C7677D" w:rsidRDefault="000226ED" w:rsidP="000226ED">
      <w:pPr>
        <w:spacing w:after="0" w:line="240" w:lineRule="auto"/>
        <w:jc w:val="center"/>
        <w:rPr>
          <w:b/>
        </w:rPr>
      </w:pPr>
      <w:r w:rsidRPr="00C7677D">
        <w:rPr>
          <w:b/>
        </w:rPr>
        <w:t>INSTITUCIÓN EDUCATIVA DEPARTAMENTAL MONSEÑOR AGUSTÍN GUTIÉRREZ</w:t>
      </w:r>
    </w:p>
    <w:p w:rsidR="000226ED" w:rsidRPr="00C7677D" w:rsidRDefault="000226ED" w:rsidP="000226ED">
      <w:pPr>
        <w:spacing w:after="0" w:line="240" w:lineRule="auto"/>
        <w:jc w:val="center"/>
        <w:rPr>
          <w:b/>
        </w:rPr>
      </w:pPr>
      <w:r w:rsidRPr="00C7677D">
        <w:rPr>
          <w:b/>
        </w:rPr>
        <w:t>ÁREA DE CIENCIAS NATURALES – QUÍMICA GRADO 11</w:t>
      </w:r>
    </w:p>
    <w:p w:rsidR="000226ED" w:rsidRPr="00C7677D" w:rsidRDefault="00F5001C" w:rsidP="000226ED">
      <w:pPr>
        <w:spacing w:after="0" w:line="240" w:lineRule="auto"/>
        <w:jc w:val="center"/>
        <w:rPr>
          <w:b/>
        </w:rPr>
      </w:pPr>
      <w:proofErr w:type="gramStart"/>
      <w:r w:rsidRPr="00C7677D">
        <w:rPr>
          <w:b/>
        </w:rPr>
        <w:t>pH</w:t>
      </w:r>
      <w:proofErr w:type="gramEnd"/>
      <w:r w:rsidRPr="00C7677D">
        <w:rPr>
          <w:b/>
        </w:rPr>
        <w:t xml:space="preserve"> y  CONDUCTIVIDAD ELECTRICA DE LAS SOLUCIONES</w:t>
      </w:r>
    </w:p>
    <w:p w:rsidR="00F5001C" w:rsidRDefault="00F5001C" w:rsidP="000226ED">
      <w:pPr>
        <w:spacing w:after="0" w:line="240" w:lineRule="auto"/>
        <w:jc w:val="center"/>
      </w:pPr>
    </w:p>
    <w:p w:rsidR="00F5001C" w:rsidRDefault="00F5001C" w:rsidP="00F5001C">
      <w:pPr>
        <w:spacing w:after="0" w:line="240" w:lineRule="auto"/>
        <w:jc w:val="both"/>
      </w:pPr>
    </w:p>
    <w:p w:rsidR="009C433D" w:rsidRPr="00C7677D" w:rsidRDefault="009C433D" w:rsidP="009C433D">
      <w:pPr>
        <w:spacing w:after="0" w:line="240" w:lineRule="auto"/>
        <w:jc w:val="both"/>
        <w:rPr>
          <w:b/>
        </w:rPr>
      </w:pPr>
      <w:r w:rsidRPr="00C7677D">
        <w:rPr>
          <w:b/>
        </w:rPr>
        <w:t>DETERMINACIÓN DE pH</w:t>
      </w:r>
    </w:p>
    <w:p w:rsidR="009C433D" w:rsidRDefault="009C433D" w:rsidP="00F5001C">
      <w:pPr>
        <w:spacing w:after="0" w:line="240" w:lineRule="auto"/>
        <w:jc w:val="both"/>
        <w:rPr>
          <w:b/>
        </w:rPr>
      </w:pPr>
    </w:p>
    <w:p w:rsidR="00F5001C" w:rsidRPr="00C7677D" w:rsidRDefault="00495236" w:rsidP="00F5001C">
      <w:pPr>
        <w:spacing w:after="0" w:line="240" w:lineRule="auto"/>
        <w:jc w:val="both"/>
        <w:rPr>
          <w:b/>
        </w:rPr>
      </w:pPr>
      <w:r>
        <w:rPr>
          <w:b/>
        </w:rPr>
        <w:t>OBJETIVO</w:t>
      </w:r>
      <w:r w:rsidR="00F5001C" w:rsidRPr="00C7677D">
        <w:rPr>
          <w:b/>
        </w:rPr>
        <w:t xml:space="preserve"> </w:t>
      </w:r>
    </w:p>
    <w:p w:rsidR="00F5001C" w:rsidRDefault="00F5001C" w:rsidP="00F5001C">
      <w:pPr>
        <w:spacing w:after="0" w:line="240" w:lineRule="auto"/>
        <w:jc w:val="both"/>
      </w:pPr>
      <w:r>
        <w:t>- Determinar el pH de diferentes soluciones de uso común.</w:t>
      </w:r>
    </w:p>
    <w:p w:rsidR="00A75398" w:rsidRDefault="00A75398" w:rsidP="00F5001C">
      <w:pPr>
        <w:spacing w:after="0" w:line="240" w:lineRule="auto"/>
        <w:jc w:val="both"/>
      </w:pPr>
    </w:p>
    <w:p w:rsidR="00A75398" w:rsidRPr="00C7677D" w:rsidRDefault="00A75398" w:rsidP="00F5001C">
      <w:pPr>
        <w:spacing w:after="0" w:line="240" w:lineRule="auto"/>
        <w:jc w:val="both"/>
        <w:rPr>
          <w:b/>
        </w:rPr>
      </w:pPr>
    </w:p>
    <w:p w:rsidR="00A75398" w:rsidRDefault="00C7677D" w:rsidP="00F5001C">
      <w:pPr>
        <w:spacing w:after="0" w:line="240" w:lineRule="auto"/>
        <w:jc w:val="both"/>
      </w:pPr>
      <w:r>
        <w:t>El pH es la concentración de hidrogeniones (H</w:t>
      </w:r>
      <w:r>
        <w:rPr>
          <w:vertAlign w:val="superscript"/>
        </w:rPr>
        <w:t>+</w:t>
      </w:r>
      <w:r>
        <w:t xml:space="preserve">) de una solución. </w:t>
      </w:r>
    </w:p>
    <w:p w:rsidR="00C7677D" w:rsidRDefault="00C7677D" w:rsidP="00F5001C">
      <w:pPr>
        <w:spacing w:after="0" w:line="240" w:lineRule="auto"/>
        <w:jc w:val="both"/>
      </w:pPr>
      <w:r>
        <w:t>Los indicadores de pH son sustancias que cambian de color, según sea la sustancia ácida o básica.</w:t>
      </w:r>
    </w:p>
    <w:p w:rsidR="00C7677D" w:rsidRDefault="00C7677D" w:rsidP="00F5001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7677D" w:rsidTr="00C7677D">
        <w:tc>
          <w:tcPr>
            <w:tcW w:w="2161" w:type="dxa"/>
          </w:tcPr>
          <w:p w:rsidR="00C7677D" w:rsidRPr="00C7677D" w:rsidRDefault="00C7677D" w:rsidP="00C7677D">
            <w:pPr>
              <w:jc w:val="center"/>
              <w:rPr>
                <w:b/>
                <w:sz w:val="20"/>
                <w:szCs w:val="20"/>
              </w:rPr>
            </w:pPr>
            <w:r w:rsidRPr="00C7677D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2161" w:type="dxa"/>
          </w:tcPr>
          <w:p w:rsidR="00C7677D" w:rsidRPr="00C7677D" w:rsidRDefault="00C7677D" w:rsidP="00C7677D">
            <w:pPr>
              <w:jc w:val="center"/>
              <w:rPr>
                <w:b/>
                <w:sz w:val="20"/>
                <w:szCs w:val="20"/>
              </w:rPr>
            </w:pPr>
            <w:r w:rsidRPr="00C7677D">
              <w:rPr>
                <w:b/>
                <w:sz w:val="20"/>
                <w:szCs w:val="20"/>
              </w:rPr>
              <w:t>COLOR A pH inferior</w:t>
            </w:r>
          </w:p>
        </w:tc>
        <w:tc>
          <w:tcPr>
            <w:tcW w:w="2161" w:type="dxa"/>
          </w:tcPr>
          <w:p w:rsidR="00C7677D" w:rsidRPr="00C7677D" w:rsidRDefault="00C7677D" w:rsidP="00C7677D">
            <w:pPr>
              <w:jc w:val="center"/>
              <w:rPr>
                <w:b/>
                <w:sz w:val="20"/>
                <w:szCs w:val="20"/>
              </w:rPr>
            </w:pPr>
            <w:r w:rsidRPr="00C7677D">
              <w:rPr>
                <w:b/>
                <w:sz w:val="20"/>
                <w:szCs w:val="20"/>
              </w:rPr>
              <w:t>INTERVALO DE VIRAJE</w:t>
            </w:r>
          </w:p>
        </w:tc>
        <w:tc>
          <w:tcPr>
            <w:tcW w:w="2161" w:type="dxa"/>
          </w:tcPr>
          <w:p w:rsidR="00C7677D" w:rsidRPr="00C7677D" w:rsidRDefault="00C7677D" w:rsidP="00C7677D">
            <w:pPr>
              <w:jc w:val="center"/>
              <w:rPr>
                <w:b/>
                <w:sz w:val="20"/>
                <w:szCs w:val="20"/>
              </w:rPr>
            </w:pPr>
            <w:r w:rsidRPr="00C7677D">
              <w:rPr>
                <w:b/>
                <w:sz w:val="20"/>
                <w:szCs w:val="20"/>
              </w:rPr>
              <w:t>COLOR A pH superior</w:t>
            </w:r>
          </w:p>
        </w:tc>
      </w:tr>
      <w:tr w:rsidR="00C7677D" w:rsidTr="00C7677D">
        <w:tc>
          <w:tcPr>
            <w:tcW w:w="2161" w:type="dxa"/>
          </w:tcPr>
          <w:p w:rsidR="00C7677D" w:rsidRDefault="00306F23" w:rsidP="00F5001C">
            <w:pPr>
              <w:jc w:val="both"/>
            </w:pPr>
            <w:r>
              <w:t xml:space="preserve">Fenolftaleína 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incoloro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8 - 10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Fucsia a rojo</w:t>
            </w:r>
          </w:p>
        </w:tc>
      </w:tr>
      <w:tr w:rsidR="00C7677D" w:rsidTr="00C7677D">
        <w:tc>
          <w:tcPr>
            <w:tcW w:w="2161" w:type="dxa"/>
          </w:tcPr>
          <w:p w:rsidR="00C7677D" w:rsidRDefault="00306F23" w:rsidP="00F5001C">
            <w:pPr>
              <w:jc w:val="both"/>
            </w:pPr>
            <w:r>
              <w:t>Papel Tornasol azul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rojo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8 -  14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azul</w:t>
            </w:r>
          </w:p>
        </w:tc>
      </w:tr>
      <w:tr w:rsidR="00C7677D" w:rsidTr="00C7677D">
        <w:tc>
          <w:tcPr>
            <w:tcW w:w="2161" w:type="dxa"/>
          </w:tcPr>
          <w:p w:rsidR="00C7677D" w:rsidRDefault="00306F23" w:rsidP="00F5001C">
            <w:pPr>
              <w:jc w:val="both"/>
            </w:pPr>
            <w:r>
              <w:t>Papel tornasol rojo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rojo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0 – 6</w:t>
            </w:r>
          </w:p>
        </w:tc>
        <w:tc>
          <w:tcPr>
            <w:tcW w:w="2161" w:type="dxa"/>
          </w:tcPr>
          <w:p w:rsidR="00C7677D" w:rsidRDefault="00306F23" w:rsidP="00306F23">
            <w:pPr>
              <w:jc w:val="center"/>
            </w:pPr>
            <w:r>
              <w:t>Azul</w:t>
            </w:r>
          </w:p>
        </w:tc>
      </w:tr>
      <w:tr w:rsidR="00495236" w:rsidTr="009C7B08">
        <w:tc>
          <w:tcPr>
            <w:tcW w:w="2161" w:type="dxa"/>
          </w:tcPr>
          <w:p w:rsidR="00495236" w:rsidRDefault="00495236" w:rsidP="00F5001C">
            <w:pPr>
              <w:jc w:val="both"/>
            </w:pPr>
            <w:r>
              <w:t>Indicador universal</w:t>
            </w:r>
          </w:p>
        </w:tc>
        <w:tc>
          <w:tcPr>
            <w:tcW w:w="6483" w:type="dxa"/>
            <w:gridSpan w:val="3"/>
          </w:tcPr>
          <w:p w:rsidR="00495236" w:rsidRDefault="00495236" w:rsidP="00495236">
            <w:pPr>
              <w:jc w:val="center"/>
            </w:pPr>
            <w:r>
              <w:t>Comparar con la escala de pH, de acuerdo al color</w:t>
            </w:r>
          </w:p>
        </w:tc>
      </w:tr>
    </w:tbl>
    <w:p w:rsidR="00C7677D" w:rsidRDefault="00C7677D" w:rsidP="00F5001C">
      <w:pPr>
        <w:spacing w:after="0" w:line="240" w:lineRule="auto"/>
        <w:jc w:val="both"/>
      </w:pPr>
    </w:p>
    <w:p w:rsidR="00A75398" w:rsidRPr="00495236" w:rsidRDefault="00A75398" w:rsidP="00F5001C">
      <w:pPr>
        <w:spacing w:after="0" w:line="240" w:lineRule="auto"/>
        <w:jc w:val="both"/>
        <w:rPr>
          <w:b/>
        </w:rPr>
      </w:pPr>
      <w:r w:rsidRPr="00495236">
        <w:rPr>
          <w:b/>
        </w:rPr>
        <w:t>MATERIALES:</w:t>
      </w:r>
    </w:p>
    <w:p w:rsidR="00A75398" w:rsidRDefault="00A75398" w:rsidP="00F5001C">
      <w:pPr>
        <w:spacing w:after="0" w:line="240" w:lineRule="auto"/>
        <w:jc w:val="both"/>
      </w:pPr>
      <w:r>
        <w:t>- Soluciones traídas</w:t>
      </w:r>
    </w:p>
    <w:p w:rsidR="00A75398" w:rsidRDefault="00A75398" w:rsidP="00F5001C">
      <w:pPr>
        <w:spacing w:after="0" w:line="240" w:lineRule="auto"/>
        <w:jc w:val="both"/>
      </w:pPr>
      <w:r>
        <w:t>- Indicadores</w:t>
      </w:r>
      <w:r w:rsidR="00495236">
        <w:t>: fenolftaleína,</w:t>
      </w:r>
      <w:r>
        <w:t xml:space="preserve"> papel tornasol rojo, papel tornasol azul, papel indicador universal.</w:t>
      </w:r>
    </w:p>
    <w:p w:rsidR="0080319B" w:rsidRDefault="0080319B" w:rsidP="00F5001C">
      <w:pPr>
        <w:spacing w:after="0" w:line="240" w:lineRule="auto"/>
        <w:jc w:val="both"/>
      </w:pPr>
      <w:r>
        <w:t>- Limpión.</w:t>
      </w:r>
    </w:p>
    <w:p w:rsidR="00A75398" w:rsidRDefault="00A75398" w:rsidP="00F5001C">
      <w:pPr>
        <w:spacing w:after="0" w:line="240" w:lineRule="auto"/>
        <w:jc w:val="both"/>
      </w:pPr>
    </w:p>
    <w:p w:rsidR="00A75398" w:rsidRPr="00495236" w:rsidRDefault="00A75398" w:rsidP="00F5001C">
      <w:pPr>
        <w:spacing w:after="0" w:line="240" w:lineRule="auto"/>
        <w:jc w:val="both"/>
        <w:rPr>
          <w:b/>
        </w:rPr>
      </w:pPr>
      <w:r w:rsidRPr="00495236">
        <w:rPr>
          <w:b/>
        </w:rPr>
        <w:t>PROCEDIMIENTO:</w:t>
      </w:r>
    </w:p>
    <w:p w:rsidR="00A75398" w:rsidRDefault="00A75398" w:rsidP="00F5001C">
      <w:pPr>
        <w:spacing w:after="0" w:line="240" w:lineRule="auto"/>
        <w:jc w:val="both"/>
      </w:pPr>
    </w:p>
    <w:p w:rsidR="00A75398" w:rsidRDefault="00A75398" w:rsidP="00F5001C">
      <w:pPr>
        <w:spacing w:after="0" w:line="240" w:lineRule="auto"/>
        <w:jc w:val="both"/>
      </w:pPr>
      <w:r>
        <w:t xml:space="preserve">1.  </w:t>
      </w:r>
      <w:r w:rsidR="00495236">
        <w:t>Aplicar una gota de cada una de las muestras sobre el papel indicador, revisar cambio de color.</w:t>
      </w:r>
    </w:p>
    <w:p w:rsidR="00495236" w:rsidRDefault="00495236" w:rsidP="00F5001C">
      <w:pPr>
        <w:spacing w:after="0" w:line="240" w:lineRule="auto"/>
        <w:jc w:val="both"/>
      </w:pPr>
      <w:r>
        <w:t>2. Aplicar a cada una de las muestras una gota de fenolftaleína, verificar el cambio de color.</w:t>
      </w:r>
    </w:p>
    <w:p w:rsidR="00495236" w:rsidRDefault="00495236" w:rsidP="00F5001C">
      <w:pPr>
        <w:spacing w:after="0" w:line="240" w:lineRule="auto"/>
        <w:jc w:val="both"/>
      </w:pPr>
    </w:p>
    <w:p w:rsidR="00495236" w:rsidRDefault="00495236" w:rsidP="00F5001C">
      <w:pPr>
        <w:spacing w:after="0" w:line="240" w:lineRule="auto"/>
        <w:jc w:val="both"/>
        <w:rPr>
          <w:b/>
        </w:rPr>
      </w:pPr>
      <w:r>
        <w:rPr>
          <w:b/>
        </w:rPr>
        <w:t>RESULTADOS</w:t>
      </w:r>
    </w:p>
    <w:p w:rsidR="00495236" w:rsidRDefault="00495236" w:rsidP="00F5001C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993"/>
        <w:gridCol w:w="1035"/>
        <w:gridCol w:w="795"/>
        <w:gridCol w:w="788"/>
        <w:gridCol w:w="780"/>
        <w:gridCol w:w="819"/>
      </w:tblGrid>
      <w:tr w:rsidR="009C433D" w:rsidTr="009C433D">
        <w:tc>
          <w:tcPr>
            <w:tcW w:w="1809" w:type="dxa"/>
            <w:vMerge w:val="restart"/>
            <w:vAlign w:val="center"/>
          </w:tcPr>
          <w:p w:rsidR="009C433D" w:rsidRPr="00495236" w:rsidRDefault="009C433D" w:rsidP="009C433D">
            <w:pPr>
              <w:jc w:val="center"/>
              <w:rPr>
                <w:b/>
              </w:rPr>
            </w:pPr>
            <w:r w:rsidRPr="00495236">
              <w:rPr>
                <w:b/>
              </w:rPr>
              <w:t>MUESTRA</w:t>
            </w:r>
          </w:p>
        </w:tc>
        <w:tc>
          <w:tcPr>
            <w:tcW w:w="1701" w:type="dxa"/>
            <w:gridSpan w:val="2"/>
          </w:tcPr>
          <w:p w:rsidR="009C433D" w:rsidRPr="00495236" w:rsidRDefault="009C433D" w:rsidP="00495236">
            <w:pPr>
              <w:jc w:val="center"/>
              <w:rPr>
                <w:b/>
              </w:rPr>
            </w:pPr>
            <w:r w:rsidRPr="00495236">
              <w:rPr>
                <w:b/>
              </w:rPr>
              <w:t>FENOLFTALEINA</w:t>
            </w:r>
          </w:p>
        </w:tc>
        <w:tc>
          <w:tcPr>
            <w:tcW w:w="2028" w:type="dxa"/>
            <w:gridSpan w:val="2"/>
          </w:tcPr>
          <w:p w:rsidR="009C433D" w:rsidRPr="00495236" w:rsidRDefault="009C433D" w:rsidP="00495236">
            <w:pPr>
              <w:jc w:val="center"/>
              <w:rPr>
                <w:b/>
              </w:rPr>
            </w:pPr>
            <w:r w:rsidRPr="00495236">
              <w:rPr>
                <w:b/>
              </w:rPr>
              <w:t>P. TORNASOL ROJO</w:t>
            </w:r>
          </w:p>
        </w:tc>
        <w:tc>
          <w:tcPr>
            <w:tcW w:w="1583" w:type="dxa"/>
            <w:gridSpan w:val="2"/>
          </w:tcPr>
          <w:p w:rsidR="009C433D" w:rsidRPr="00495236" w:rsidRDefault="009C433D" w:rsidP="00495236">
            <w:pPr>
              <w:jc w:val="center"/>
              <w:rPr>
                <w:b/>
              </w:rPr>
            </w:pPr>
            <w:r w:rsidRPr="00495236">
              <w:rPr>
                <w:b/>
              </w:rPr>
              <w:t>P. TORNASOL AZUL</w:t>
            </w:r>
          </w:p>
        </w:tc>
        <w:tc>
          <w:tcPr>
            <w:tcW w:w="1599" w:type="dxa"/>
            <w:gridSpan w:val="2"/>
          </w:tcPr>
          <w:p w:rsidR="009C433D" w:rsidRPr="00495236" w:rsidRDefault="009C433D" w:rsidP="00495236">
            <w:pPr>
              <w:jc w:val="center"/>
              <w:rPr>
                <w:b/>
              </w:rPr>
            </w:pPr>
            <w:r w:rsidRPr="00495236">
              <w:rPr>
                <w:b/>
              </w:rPr>
              <w:t>P. INDICADOR UNIVERSAL</w:t>
            </w:r>
          </w:p>
        </w:tc>
      </w:tr>
      <w:tr w:rsidR="009C433D" w:rsidTr="00495236">
        <w:tc>
          <w:tcPr>
            <w:tcW w:w="1809" w:type="dxa"/>
            <w:vMerge/>
          </w:tcPr>
          <w:p w:rsidR="009C433D" w:rsidRDefault="009C433D" w:rsidP="00F5001C">
            <w:pPr>
              <w:jc w:val="both"/>
            </w:pPr>
          </w:p>
        </w:tc>
        <w:tc>
          <w:tcPr>
            <w:tcW w:w="851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 w:rsidRPr="009C433D">
              <w:rPr>
                <w:b/>
              </w:rPr>
              <w:t>color</w:t>
            </w:r>
          </w:p>
        </w:tc>
        <w:tc>
          <w:tcPr>
            <w:tcW w:w="850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>
              <w:rPr>
                <w:b/>
              </w:rPr>
              <w:t>A/B</w:t>
            </w:r>
          </w:p>
        </w:tc>
        <w:tc>
          <w:tcPr>
            <w:tcW w:w="993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 w:rsidRPr="009C433D">
              <w:rPr>
                <w:b/>
              </w:rPr>
              <w:t>color</w:t>
            </w:r>
          </w:p>
        </w:tc>
        <w:tc>
          <w:tcPr>
            <w:tcW w:w="1035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>
              <w:rPr>
                <w:b/>
              </w:rPr>
              <w:t>A/B</w:t>
            </w:r>
          </w:p>
        </w:tc>
        <w:tc>
          <w:tcPr>
            <w:tcW w:w="795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 w:rsidRPr="009C433D">
              <w:rPr>
                <w:b/>
              </w:rPr>
              <w:t>color</w:t>
            </w:r>
          </w:p>
        </w:tc>
        <w:tc>
          <w:tcPr>
            <w:tcW w:w="788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>
              <w:rPr>
                <w:b/>
              </w:rPr>
              <w:t>A/B</w:t>
            </w:r>
          </w:p>
        </w:tc>
        <w:tc>
          <w:tcPr>
            <w:tcW w:w="780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 w:rsidRPr="009C433D">
              <w:rPr>
                <w:b/>
              </w:rPr>
              <w:t>color</w:t>
            </w:r>
          </w:p>
        </w:tc>
        <w:tc>
          <w:tcPr>
            <w:tcW w:w="819" w:type="dxa"/>
          </w:tcPr>
          <w:p w:rsidR="009C433D" w:rsidRPr="009C433D" w:rsidRDefault="009C433D" w:rsidP="009C433D">
            <w:pPr>
              <w:jc w:val="center"/>
              <w:rPr>
                <w:b/>
              </w:rPr>
            </w:pPr>
            <w:r>
              <w:rPr>
                <w:b/>
              </w:rPr>
              <w:t>A/B</w:t>
            </w: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  <w:tr w:rsidR="00495236" w:rsidTr="00495236">
        <w:tc>
          <w:tcPr>
            <w:tcW w:w="1809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1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5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993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103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95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8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780" w:type="dxa"/>
          </w:tcPr>
          <w:p w:rsidR="00495236" w:rsidRDefault="00495236" w:rsidP="00F5001C">
            <w:pPr>
              <w:jc w:val="both"/>
            </w:pPr>
          </w:p>
        </w:tc>
        <w:tc>
          <w:tcPr>
            <w:tcW w:w="819" w:type="dxa"/>
          </w:tcPr>
          <w:p w:rsidR="00495236" w:rsidRDefault="00495236" w:rsidP="00F5001C">
            <w:pPr>
              <w:jc w:val="both"/>
            </w:pPr>
          </w:p>
        </w:tc>
      </w:tr>
    </w:tbl>
    <w:p w:rsidR="00495236" w:rsidRDefault="00495236" w:rsidP="00F5001C">
      <w:pPr>
        <w:spacing w:after="0" w:line="240" w:lineRule="auto"/>
        <w:jc w:val="both"/>
      </w:pPr>
    </w:p>
    <w:p w:rsidR="00495236" w:rsidRDefault="00495236" w:rsidP="00F5001C">
      <w:pPr>
        <w:spacing w:after="0" w:line="240" w:lineRule="auto"/>
        <w:jc w:val="both"/>
        <w:rPr>
          <w:b/>
        </w:rPr>
      </w:pPr>
      <w:r w:rsidRPr="00495236">
        <w:rPr>
          <w:b/>
        </w:rPr>
        <w:t>CONCLUSIONES:</w:t>
      </w: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Default="00495236" w:rsidP="00F5001C">
      <w:pPr>
        <w:spacing w:after="0" w:line="240" w:lineRule="auto"/>
        <w:jc w:val="both"/>
        <w:rPr>
          <w:b/>
        </w:rPr>
      </w:pPr>
    </w:p>
    <w:p w:rsidR="00495236" w:rsidRPr="00495236" w:rsidRDefault="00495236" w:rsidP="00495236">
      <w:pPr>
        <w:spacing w:after="0" w:line="240" w:lineRule="auto"/>
        <w:jc w:val="both"/>
        <w:rPr>
          <w:b/>
        </w:rPr>
      </w:pPr>
      <w:r>
        <w:rPr>
          <w:b/>
        </w:rPr>
        <w:t>SOLUCIONES ELECTROLITICAS Y NO ELECTROLITICAS</w:t>
      </w:r>
    </w:p>
    <w:p w:rsidR="00495236" w:rsidRDefault="00495236" w:rsidP="00495236">
      <w:pPr>
        <w:spacing w:after="0" w:line="240" w:lineRule="auto"/>
        <w:jc w:val="both"/>
      </w:pPr>
    </w:p>
    <w:p w:rsidR="009C433D" w:rsidRDefault="009C433D" w:rsidP="00495236">
      <w:pPr>
        <w:spacing w:after="0" w:line="240" w:lineRule="auto"/>
        <w:jc w:val="both"/>
        <w:rPr>
          <w:b/>
        </w:rPr>
      </w:pPr>
      <w:r>
        <w:rPr>
          <w:b/>
        </w:rPr>
        <w:t>OBJETIVO</w:t>
      </w:r>
    </w:p>
    <w:p w:rsidR="00495236" w:rsidRDefault="00495236" w:rsidP="00495236">
      <w:pPr>
        <w:spacing w:after="0" w:line="240" w:lineRule="auto"/>
        <w:jc w:val="both"/>
      </w:pPr>
      <w:r>
        <w:t xml:space="preserve">Determinar electrolitos o no electrolitos  </w:t>
      </w:r>
      <w:r w:rsidR="009C433D">
        <w:t>en diferentes soluciones.</w:t>
      </w:r>
    </w:p>
    <w:p w:rsidR="009C433D" w:rsidRDefault="009C433D" w:rsidP="00495236">
      <w:pPr>
        <w:spacing w:after="0" w:line="240" w:lineRule="auto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9C433D" w:rsidRPr="009C433D" w:rsidRDefault="009C433D" w:rsidP="00495236">
      <w:pPr>
        <w:spacing w:after="0" w:line="240" w:lineRule="auto"/>
        <w:jc w:val="both"/>
      </w:pPr>
      <w:r w:rsidRPr="009C433D">
        <w:rPr>
          <w:shd w:val="clear" w:color="auto" w:fill="FFFFFF"/>
        </w:rPr>
        <w:t>Puede definirse al electrolito como el</w:t>
      </w:r>
      <w:r w:rsidRPr="009C433D">
        <w:rPr>
          <w:rStyle w:val="apple-converted-space"/>
          <w:shd w:val="clear" w:color="auto" w:fill="FFFFFF"/>
        </w:rPr>
        <w:t> </w:t>
      </w:r>
      <w:hyperlink r:id="rId5" w:history="1">
        <w:r w:rsidRPr="009C433D">
          <w:rPr>
            <w:rStyle w:val="Hipervnculo"/>
            <w:bCs/>
            <w:color w:val="auto"/>
            <w:u w:val="none"/>
            <w:bdr w:val="none" w:sz="0" w:space="0" w:color="auto" w:frame="1"/>
          </w:rPr>
          <w:t>solvente</w:t>
        </w:r>
      </w:hyperlink>
      <w:r w:rsidRPr="009C433D">
        <w:rPr>
          <w:rStyle w:val="apple-converted-space"/>
          <w:shd w:val="clear" w:color="auto" w:fill="FFFFFF"/>
        </w:rPr>
        <w:t> </w:t>
      </w:r>
      <w:r w:rsidRPr="009C433D">
        <w:rPr>
          <w:shd w:val="clear" w:color="auto" w:fill="FFFFFF"/>
        </w:rPr>
        <w:t>que se disuelve en agua para generar una</w:t>
      </w:r>
      <w:r w:rsidRPr="009C433D">
        <w:rPr>
          <w:rStyle w:val="apple-converted-space"/>
          <w:shd w:val="clear" w:color="auto" w:fill="FFFFFF"/>
        </w:rPr>
        <w:t> </w:t>
      </w:r>
      <w:hyperlink r:id="rId6" w:history="1">
        <w:r w:rsidRPr="009C433D">
          <w:rPr>
            <w:rStyle w:val="Textoennegrita"/>
            <w:bdr w:val="none" w:sz="0" w:space="0" w:color="auto" w:frame="1"/>
          </w:rPr>
          <w:t>solución</w:t>
        </w:r>
      </w:hyperlink>
      <w:r w:rsidRPr="009C433D">
        <w:rPr>
          <w:rStyle w:val="apple-converted-space"/>
          <w:shd w:val="clear" w:color="auto" w:fill="FFFFFF"/>
        </w:rPr>
        <w:t> </w:t>
      </w:r>
      <w:r w:rsidRPr="009C433D">
        <w:rPr>
          <w:shd w:val="clear" w:color="auto" w:fill="FFFFFF"/>
        </w:rPr>
        <w:t>capaz de conducir la corriente. Cuando, en una solución, un alto porcentaje del soluto se disocia para crear iones libres, se habla de</w:t>
      </w:r>
      <w:r w:rsidRPr="009C433D">
        <w:rPr>
          <w:rStyle w:val="apple-converted-space"/>
          <w:shd w:val="clear" w:color="auto" w:fill="FFFFFF"/>
        </w:rPr>
        <w:t> </w:t>
      </w:r>
      <w:r w:rsidRPr="009C433D">
        <w:rPr>
          <w:rStyle w:val="Textoennegrita"/>
          <w:bdr w:val="none" w:sz="0" w:space="0" w:color="auto" w:frame="1"/>
        </w:rPr>
        <w:t>electrolitos fuertes</w:t>
      </w:r>
      <w:r w:rsidRPr="009C433D">
        <w:rPr>
          <w:shd w:val="clear" w:color="auto" w:fill="FFFFFF"/>
        </w:rPr>
        <w:t>. En cambio, si la mayor parte del soluto no consigue disociarse, puede hacerse referencia a los</w:t>
      </w:r>
      <w:r w:rsidRPr="009C433D">
        <w:rPr>
          <w:rStyle w:val="apple-converted-space"/>
          <w:shd w:val="clear" w:color="auto" w:fill="FFFFFF"/>
        </w:rPr>
        <w:t> </w:t>
      </w:r>
      <w:r w:rsidRPr="009C433D">
        <w:rPr>
          <w:rStyle w:val="Textoennegrita"/>
          <w:bdr w:val="none" w:sz="0" w:space="0" w:color="auto" w:frame="1"/>
        </w:rPr>
        <w:t>electrolitos débiles</w:t>
      </w:r>
      <w:r w:rsidRPr="009C433D">
        <w:rPr>
          <w:shd w:val="clear" w:color="auto" w:fill="FFFFFF"/>
        </w:rPr>
        <w:t>.</w:t>
      </w:r>
      <w:r w:rsidRPr="009C433D">
        <w:rPr>
          <w:bdr w:val="none" w:sz="0" w:space="0" w:color="auto" w:frame="1"/>
        </w:rPr>
        <w:br/>
      </w:r>
      <w:r w:rsidRPr="009C433D">
        <w:rPr>
          <w:color w:val="000000"/>
          <w:bdr w:val="none" w:sz="0" w:space="0" w:color="auto" w:frame="1"/>
        </w:rPr>
        <w:br/>
      </w:r>
    </w:p>
    <w:p w:rsidR="00495236" w:rsidRDefault="009C433D" w:rsidP="00F5001C">
      <w:pPr>
        <w:spacing w:after="0" w:line="240" w:lineRule="auto"/>
        <w:jc w:val="both"/>
        <w:rPr>
          <w:b/>
        </w:rPr>
      </w:pPr>
      <w:r>
        <w:rPr>
          <w:b/>
        </w:rPr>
        <w:t>MATERIALES</w:t>
      </w:r>
    </w:p>
    <w:p w:rsidR="009C433D" w:rsidRDefault="009C433D" w:rsidP="00F5001C">
      <w:pPr>
        <w:spacing w:after="0" w:line="240" w:lineRule="auto"/>
        <w:jc w:val="both"/>
      </w:pPr>
      <w:r>
        <w:rPr>
          <w:b/>
        </w:rPr>
        <w:t xml:space="preserve">- </w:t>
      </w:r>
      <w:r>
        <w:t>Soluciones traídas</w:t>
      </w:r>
    </w:p>
    <w:p w:rsidR="009C433D" w:rsidRDefault="009C433D" w:rsidP="00F5001C">
      <w:pPr>
        <w:spacing w:after="0" w:line="240" w:lineRule="auto"/>
        <w:jc w:val="both"/>
      </w:pPr>
      <w:r>
        <w:t>- Roseta con bombillo, cable y toma.</w:t>
      </w:r>
    </w:p>
    <w:p w:rsidR="0080319B" w:rsidRDefault="0080319B" w:rsidP="00F5001C">
      <w:pPr>
        <w:spacing w:after="0" w:line="240" w:lineRule="auto"/>
        <w:jc w:val="both"/>
      </w:pPr>
      <w:r>
        <w:t>- Limpión.</w:t>
      </w:r>
      <w:bookmarkStart w:id="0" w:name="_GoBack"/>
      <w:bookmarkEnd w:id="0"/>
    </w:p>
    <w:p w:rsidR="009C433D" w:rsidRDefault="009C433D" w:rsidP="00F5001C">
      <w:pPr>
        <w:spacing w:after="0" w:line="240" w:lineRule="auto"/>
        <w:jc w:val="both"/>
      </w:pPr>
    </w:p>
    <w:p w:rsidR="009C433D" w:rsidRDefault="009C433D" w:rsidP="00F5001C">
      <w:pPr>
        <w:spacing w:after="0" w:line="240" w:lineRule="auto"/>
        <w:jc w:val="both"/>
        <w:rPr>
          <w:b/>
        </w:rPr>
      </w:pPr>
      <w:r>
        <w:rPr>
          <w:b/>
        </w:rPr>
        <w:t>PROCEDIMIENTO</w:t>
      </w:r>
    </w:p>
    <w:p w:rsidR="009C433D" w:rsidRDefault="00B9704C" w:rsidP="00F5001C">
      <w:pPr>
        <w:spacing w:after="0" w:line="240" w:lineRule="auto"/>
        <w:jc w:val="both"/>
      </w:pPr>
      <w:r>
        <w:t xml:space="preserve">Conectar el dispositivo al tomacorriente, </w:t>
      </w:r>
      <w:r w:rsidR="009C433D">
        <w:t xml:space="preserve">Introducir en </w:t>
      </w:r>
      <w:r>
        <w:t>la primera muestra los cables libres sin dejar que estos se juntes. Verificar si el bombillo prende o no.</w:t>
      </w:r>
    </w:p>
    <w:p w:rsidR="00B9704C" w:rsidRDefault="00B9704C" w:rsidP="00F5001C">
      <w:pPr>
        <w:spacing w:after="0" w:line="240" w:lineRule="auto"/>
        <w:jc w:val="both"/>
      </w:pPr>
      <w:r>
        <w:t>Desconectar el dispositivo, limpiar las terminales libres del cable.</w:t>
      </w:r>
    </w:p>
    <w:p w:rsidR="00B9704C" w:rsidRDefault="00B9704C" w:rsidP="00F5001C">
      <w:pPr>
        <w:spacing w:after="0" w:line="240" w:lineRule="auto"/>
        <w:jc w:val="both"/>
      </w:pPr>
      <w:r>
        <w:t>Repetir el procedimiento con cada una de las muestras.</w:t>
      </w:r>
    </w:p>
    <w:p w:rsidR="00B9704C" w:rsidRDefault="00B9704C" w:rsidP="00F5001C">
      <w:pPr>
        <w:spacing w:after="0" w:line="240" w:lineRule="auto"/>
        <w:jc w:val="both"/>
      </w:pPr>
    </w:p>
    <w:p w:rsidR="00B9704C" w:rsidRDefault="00B9704C" w:rsidP="00F5001C">
      <w:pPr>
        <w:spacing w:after="0" w:line="240" w:lineRule="auto"/>
        <w:jc w:val="both"/>
      </w:pPr>
      <w:r>
        <w:rPr>
          <w:b/>
        </w:rPr>
        <w:t>RESULTADOS</w:t>
      </w:r>
    </w:p>
    <w:p w:rsidR="00B9704C" w:rsidRDefault="00B9704C" w:rsidP="00F5001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9704C" w:rsidTr="00B9704C">
        <w:tc>
          <w:tcPr>
            <w:tcW w:w="2244" w:type="dxa"/>
          </w:tcPr>
          <w:p w:rsidR="00B9704C" w:rsidRPr="00B9704C" w:rsidRDefault="00B9704C" w:rsidP="00B9704C">
            <w:pPr>
              <w:jc w:val="center"/>
              <w:rPr>
                <w:b/>
              </w:rPr>
            </w:pPr>
            <w:r>
              <w:rPr>
                <w:b/>
              </w:rPr>
              <w:t>MUESTRA</w:t>
            </w:r>
          </w:p>
        </w:tc>
        <w:tc>
          <w:tcPr>
            <w:tcW w:w="2244" w:type="dxa"/>
          </w:tcPr>
          <w:p w:rsidR="00B9704C" w:rsidRPr="00B9704C" w:rsidRDefault="00B9704C" w:rsidP="00B9704C">
            <w:pPr>
              <w:jc w:val="center"/>
              <w:rPr>
                <w:b/>
              </w:rPr>
            </w:pPr>
            <w:r>
              <w:rPr>
                <w:b/>
              </w:rPr>
              <w:t>ELECTROLITO DEBIL</w:t>
            </w:r>
          </w:p>
        </w:tc>
        <w:tc>
          <w:tcPr>
            <w:tcW w:w="2245" w:type="dxa"/>
          </w:tcPr>
          <w:p w:rsidR="00B9704C" w:rsidRPr="00B9704C" w:rsidRDefault="00B9704C" w:rsidP="00B9704C">
            <w:pPr>
              <w:jc w:val="center"/>
              <w:rPr>
                <w:b/>
              </w:rPr>
            </w:pPr>
            <w:r>
              <w:rPr>
                <w:b/>
              </w:rPr>
              <w:t>ELECTROLITO FUERTE</w:t>
            </w:r>
          </w:p>
        </w:tc>
        <w:tc>
          <w:tcPr>
            <w:tcW w:w="2245" w:type="dxa"/>
          </w:tcPr>
          <w:p w:rsidR="00B9704C" w:rsidRPr="00B9704C" w:rsidRDefault="00B9704C" w:rsidP="00B9704C">
            <w:pPr>
              <w:jc w:val="center"/>
              <w:rPr>
                <w:b/>
              </w:rPr>
            </w:pPr>
            <w:r>
              <w:rPr>
                <w:b/>
              </w:rPr>
              <w:t>NO ELECTROLITO</w:t>
            </w: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  <w:tr w:rsidR="00B9704C" w:rsidTr="00B9704C"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4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  <w:tc>
          <w:tcPr>
            <w:tcW w:w="2245" w:type="dxa"/>
          </w:tcPr>
          <w:p w:rsidR="00B9704C" w:rsidRDefault="00B9704C" w:rsidP="00F5001C">
            <w:pPr>
              <w:jc w:val="both"/>
            </w:pPr>
          </w:p>
        </w:tc>
      </w:tr>
    </w:tbl>
    <w:p w:rsidR="00B9704C" w:rsidRDefault="00B9704C" w:rsidP="00F5001C">
      <w:pPr>
        <w:spacing w:after="0" w:line="240" w:lineRule="auto"/>
        <w:jc w:val="both"/>
      </w:pPr>
    </w:p>
    <w:p w:rsidR="00B9704C" w:rsidRDefault="00B9704C" w:rsidP="00F5001C">
      <w:pPr>
        <w:spacing w:after="0" w:line="240" w:lineRule="auto"/>
        <w:jc w:val="both"/>
      </w:pPr>
    </w:p>
    <w:p w:rsidR="00B9704C" w:rsidRPr="00B9704C" w:rsidRDefault="00B9704C" w:rsidP="00F5001C">
      <w:pPr>
        <w:spacing w:after="0" w:line="240" w:lineRule="auto"/>
        <w:jc w:val="both"/>
        <w:rPr>
          <w:b/>
        </w:rPr>
      </w:pPr>
      <w:r>
        <w:rPr>
          <w:b/>
        </w:rPr>
        <w:t>CONCLUSIONES:</w:t>
      </w:r>
    </w:p>
    <w:sectPr w:rsidR="00B9704C" w:rsidRPr="00B9704C" w:rsidSect="00495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D"/>
    <w:rsid w:val="00017267"/>
    <w:rsid w:val="000226ED"/>
    <w:rsid w:val="00306F23"/>
    <w:rsid w:val="00495236"/>
    <w:rsid w:val="00764AFA"/>
    <w:rsid w:val="0080319B"/>
    <w:rsid w:val="009C433D"/>
    <w:rsid w:val="00A75398"/>
    <w:rsid w:val="00B9704C"/>
    <w:rsid w:val="00C7677D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C433D"/>
  </w:style>
  <w:style w:type="character" w:styleId="Hipervnculo">
    <w:name w:val="Hyperlink"/>
    <w:basedOn w:val="Fuentedeprrafopredeter"/>
    <w:uiPriority w:val="99"/>
    <w:semiHidden/>
    <w:unhideWhenUsed/>
    <w:rsid w:val="009C43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C4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C433D"/>
  </w:style>
  <w:style w:type="character" w:styleId="Hipervnculo">
    <w:name w:val="Hyperlink"/>
    <w:basedOn w:val="Fuentedeprrafopredeter"/>
    <w:uiPriority w:val="99"/>
    <w:semiHidden/>
    <w:unhideWhenUsed/>
    <w:rsid w:val="009C43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C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solucion" TargetMode="External"/><Relationship Id="rId5" Type="http://schemas.openxmlformats.org/officeDocument/2006/relationships/hyperlink" Target="http://definicion.de/solv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2015-02-12T20:38:00Z</dcterms:created>
  <dcterms:modified xsi:type="dcterms:W3CDTF">2015-02-12T22:12:00Z</dcterms:modified>
</cp:coreProperties>
</file>